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2">
      <w:pPr>
        <w:ind w:right="99"/>
        <w:jc w:val="center"/>
        <w:rPr>
          <w:rFonts w:ascii="Cambria" w:cs="Cambria" w:eastAsia="Cambria" w:hAnsi="Cambria"/>
          <w:b w:val="0"/>
          <w:vertAlign w:val="baseline"/>
        </w:rPr>
      </w:pPr>
      <w:r w:rsidDel="00000000" w:rsidR="00000000" w:rsidRPr="00000000">
        <w:rPr>
          <w:rFonts w:ascii="Cambria" w:cs="Cambria" w:eastAsia="Cambria" w:hAnsi="Cambria"/>
          <w:b w:val="1"/>
          <w:vertAlign w:val="baseline"/>
          <w:rtl w:val="0"/>
        </w:rPr>
        <w:t xml:space="preserve">DECLARAŢIE PRIVIND ÎNTREPRINDERILE ÎN DIFICULTATE</w:t>
      </w:r>
      <w:r w:rsidDel="00000000" w:rsidR="00000000" w:rsidRPr="00000000">
        <w:rPr>
          <w:rtl w:val="0"/>
        </w:rPr>
      </w:r>
    </w:p>
    <w:p w:rsidR="00000000" w:rsidDel="00000000" w:rsidP="00000000" w:rsidRDefault="00000000" w:rsidRPr="00000000" w14:paraId="00000003">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4">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5">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6">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7">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Subsemnatul  .........................., domiciliat în  jud. ........................., str. ........................... nr......, bl. ....., sc. ....., ap. ....., identificat cu ....... seria .........., nr. ......................, eliberat la data de ........................., de către ......................................., CNP ..............................., în calitate de  reprezentant legal al SC ............................ SRL (solicitant), cunoscând prevederile OUG nr.  77/2014 privind procedurile naţionale în domeniul ajutorului de stat, precum şi pentru modificarea şi completarea Legii concurenţei nr. 21/1996 și ale actelor normative subsecvente, precum și dispozițiile Codului penal privind falsul în declarații, declar pe propria răspundere următoarele: </w:t>
      </w:r>
    </w:p>
    <w:p w:rsidR="00000000" w:rsidDel="00000000" w:rsidP="00000000" w:rsidRDefault="00000000" w:rsidRPr="00000000" w14:paraId="00000008">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9">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În conformitate cu prevederilor Liniilor directoare comunitare privind ajutorul de stat pentru salvarea și restructurarea întreprinderilor în dificultate (publicate in Jurnalul Oficial al Uniunii Europene nr. C 244/01.10.2004), </w:t>
      </w:r>
      <w:r w:rsidDel="00000000" w:rsidR="00000000" w:rsidRPr="00000000">
        <w:rPr>
          <w:rFonts w:ascii="Cambria" w:cs="Cambria" w:eastAsia="Cambria" w:hAnsi="Cambria"/>
          <w:b w:val="1"/>
          <w:vertAlign w:val="baseline"/>
          <w:rtl w:val="0"/>
        </w:rPr>
        <w:t xml:space="preserve">solicitantul nu se află în niciuna din următoarele situații</w:t>
      </w:r>
      <w:r w:rsidDel="00000000" w:rsidR="00000000" w:rsidRPr="00000000">
        <w:rPr>
          <w:rFonts w:ascii="Cambria" w:cs="Cambria" w:eastAsia="Cambria" w:hAnsi="Cambria"/>
          <w:vertAlign w:val="baseline"/>
          <w:rtl w:val="0"/>
        </w:rPr>
        <w:t xml:space="preserve">:</w:t>
      </w:r>
    </w:p>
    <w:p w:rsidR="00000000" w:rsidDel="00000000" w:rsidP="00000000" w:rsidRDefault="00000000" w:rsidRPr="00000000" w14:paraId="0000000A">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720" w:right="0" w:hanging="45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societate cu răspundere limitată în care mai mult de jumătate din capitalul social a dispărut, peste un sfert din acest capital fiind pierdut în ultimele 12 luni;                                  </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720" w:right="0" w:hanging="45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 societate comercială în care cel puțin unii dintre asociați au răspundere nelimitată pentru creanțele societății, atunci când mai mult jumătate din capitalul propriu așa cum reiese din contabilitatea societății a dispărut, peste un sfert din acest capital fiind pierdut în ultimele 12 luni;                                                                                                                                                 </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200" w:before="0" w:line="276" w:lineRule="auto"/>
        <w:ind w:left="720" w:right="0" w:hanging="450"/>
        <w:jc w:val="both"/>
        <w:rPr>
          <w:rFonts w:ascii="Times New Roman" w:cs="Times New Roman" w:eastAsia="Times New Roman" w:hAnsi="Times New Roman"/>
          <w:b w:val="0"/>
          <w:i w:val="0"/>
          <w:smallCaps w:val="0"/>
          <w:strike w:val="0"/>
          <w:color w:val="000000"/>
          <w:sz w:val="24"/>
          <w:szCs w:val="24"/>
          <w:u w:val="none"/>
          <w:shd w:fill="auto" w:val="clear"/>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indiferent de tipul societății comerciale în cauză, în cazul în care îndeplinește criteriile prevăzute de legislația națională pentru a face obiectul procedurilor colective de insolvență.</w:t>
      </w:r>
      <w:r w:rsidDel="00000000" w:rsidR="00000000" w:rsidRPr="00000000">
        <w:rPr>
          <w:rtl w:val="0"/>
        </w:rPr>
      </w:r>
    </w:p>
    <w:p w:rsidR="00000000" w:rsidDel="00000000" w:rsidP="00000000" w:rsidRDefault="00000000" w:rsidRPr="00000000" w14:paraId="0000000E">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F">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10">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11">
      <w:pPr>
        <w:ind w:right="99"/>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Data:</w:t>
        <w:tab/>
        <w:t xml:space="preserve">.......................</w:t>
        <w:tab/>
        <w:tab/>
        <w:tab/>
        <w:tab/>
        <w:t xml:space="preserve">                    </w:t>
        <w:tab/>
        <w:t xml:space="preserve">Semnătura,</w:t>
      </w:r>
    </w:p>
    <w:p w:rsidR="00000000" w:rsidDel="00000000" w:rsidP="00000000" w:rsidRDefault="00000000" w:rsidRPr="00000000" w14:paraId="00000012">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ab/>
        <w:tab/>
        <w:tab/>
        <w:tab/>
        <w:tab/>
        <w:tab/>
      </w:r>
    </w:p>
    <w:p w:rsidR="00000000" w:rsidDel="00000000" w:rsidP="00000000" w:rsidRDefault="00000000" w:rsidRPr="00000000" w14:paraId="00000013">
      <w:pP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14">
      <w:pPr>
        <w:rPr>
          <w:rFonts w:ascii="Cambria" w:cs="Cambria" w:eastAsia="Cambria" w:hAnsi="Cambria"/>
          <w:vertAlign w:val="baseline"/>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Anexa nr.7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la Schema de ajutor de minimis pentru stimularea investițiilor în cadrul IMM-urilor instalate în parcul industrial cartiertul Câmpu Frumos, mun.Sf.Gheorghe, jud.Covasna</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95" w:hanging="375"/>
      </w:pPr>
      <w:rPr>
        <w:vertAlign w:val="baseline"/>
      </w:rPr>
    </w:lvl>
    <w:lvl w:ilvl="1">
      <w:start w:val="0"/>
      <w:numFmt w:val="bullet"/>
      <w:lvlText w:val="•"/>
      <w:lvlJc w:val="left"/>
      <w:pPr>
        <w:ind w:left="900" w:hanging="360"/>
      </w:pPr>
      <w:rPr>
        <w:rFonts w:ascii="Times New Roman" w:cs="Times New Roman" w:eastAsia="Times New Roman" w:hAnsi="Times New Roman"/>
        <w:vertAlign w:val="baseline"/>
      </w:rPr>
    </w:lvl>
    <w:lvl w:ilvl="2">
      <w:start w:val="1"/>
      <w:numFmt w:val="lowerLetter"/>
      <w:lvlText w:val="%3)"/>
      <w:lvlJc w:val="left"/>
      <w:pPr>
        <w:ind w:left="1800" w:hanging="360"/>
      </w:pPr>
      <w:rPr>
        <w:vertAlign w:val="baseline"/>
      </w:rPr>
    </w:lvl>
    <w:lvl w:ilvl="3">
      <w:start w:val="1"/>
      <w:numFmt w:val="decimal"/>
      <w:lvlText w:val="%4."/>
      <w:lvlJc w:val="left"/>
      <w:pPr>
        <w:ind w:left="2340" w:hanging="360"/>
      </w:pPr>
      <w:rPr>
        <w:vertAlign w:val="baseline"/>
      </w:rPr>
    </w:lvl>
    <w:lvl w:ilvl="4">
      <w:start w:val="1"/>
      <w:numFmt w:val="lowerLetter"/>
      <w:lvlText w:val="%5."/>
      <w:lvlJc w:val="left"/>
      <w:pPr>
        <w:ind w:left="3060" w:hanging="360"/>
      </w:pPr>
      <w:rPr>
        <w:vertAlign w:val="baseline"/>
      </w:rPr>
    </w:lvl>
    <w:lvl w:ilvl="5">
      <w:start w:val="1"/>
      <w:numFmt w:val="lowerRoman"/>
      <w:lvlText w:val="%6."/>
      <w:lvlJc w:val="right"/>
      <w:pPr>
        <w:ind w:left="3780" w:hanging="180"/>
      </w:pPr>
      <w:rPr>
        <w:vertAlign w:val="baseline"/>
      </w:rPr>
    </w:lvl>
    <w:lvl w:ilvl="6">
      <w:start w:val="1"/>
      <w:numFmt w:val="decimal"/>
      <w:lvlText w:val="%7."/>
      <w:lvlJc w:val="left"/>
      <w:pPr>
        <w:ind w:left="4500" w:hanging="360"/>
      </w:pPr>
      <w:rPr>
        <w:vertAlign w:val="baseline"/>
      </w:rPr>
    </w:lvl>
    <w:lvl w:ilvl="7">
      <w:start w:val="1"/>
      <w:numFmt w:val="lowerLetter"/>
      <w:lvlText w:val="%8."/>
      <w:lvlJc w:val="left"/>
      <w:pPr>
        <w:ind w:left="5220" w:hanging="360"/>
      </w:pPr>
      <w:rPr>
        <w:vertAlign w:val="baseline"/>
      </w:rPr>
    </w:lvl>
    <w:lvl w:ilvl="8">
      <w:start w:val="1"/>
      <w:numFmt w:val="lowerRoman"/>
      <w:lvlText w:val="%9."/>
      <w:lvlJc w:val="right"/>
      <w:pPr>
        <w:ind w:left="594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